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49" w:rsidRDefault="00314F10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WSPiA im. Mieszka I</w:t>
      </w:r>
    </w:p>
    <w:p w:rsidR="00123249" w:rsidRDefault="00314F10">
      <w:pPr>
        <w:jc w:val="center"/>
        <w:rPr>
          <w:b/>
          <w:bCs/>
        </w:rPr>
      </w:pPr>
      <w:r>
        <w:rPr>
          <w:b/>
          <w:bCs/>
        </w:rPr>
        <w:t xml:space="preserve">WYDZIAŁ </w:t>
      </w:r>
      <w:r>
        <w:rPr>
          <w:b/>
          <w:bCs/>
          <w:lang w:val="de-DE"/>
        </w:rPr>
        <w:t xml:space="preserve">ZDROWIA PUBLICZNEGO </w:t>
      </w:r>
      <w:r>
        <w:rPr>
          <w:b/>
          <w:bCs/>
        </w:rPr>
        <w:t xml:space="preserve">– </w:t>
      </w:r>
      <w:r>
        <w:rPr>
          <w:rFonts w:ascii="Arial Unicode MS" w:hAnsi="Arial Unicode MS"/>
        </w:rPr>
        <w:br/>
      </w:r>
      <w:r>
        <w:rPr>
          <w:b/>
          <w:bCs/>
        </w:rPr>
        <w:t>KIERUNEK Wychowanie Fizyczne</w:t>
      </w:r>
    </w:p>
    <w:p w:rsidR="00123249" w:rsidRDefault="00314F10">
      <w:pPr>
        <w:jc w:val="center"/>
        <w:rPr>
          <w:b/>
          <w:bCs/>
        </w:rPr>
      </w:pPr>
      <w:r w:rsidRPr="00F463DB">
        <w:rPr>
          <w:b/>
          <w:bCs/>
        </w:rPr>
        <w:t xml:space="preserve">STUDIA I STOPNIA </w:t>
      </w:r>
    </w:p>
    <w:p w:rsidR="00123249" w:rsidRDefault="00123249">
      <w:pPr>
        <w:jc w:val="center"/>
        <w:rPr>
          <w:b/>
          <w:bCs/>
        </w:rPr>
      </w:pPr>
    </w:p>
    <w:p w:rsidR="00791372" w:rsidRDefault="00791372" w:rsidP="00791372">
      <w:pPr>
        <w:jc w:val="center"/>
        <w:rPr>
          <w:rFonts w:cs="Times New Roman"/>
          <w:b/>
          <w:color w:val="auto"/>
        </w:rPr>
      </w:pPr>
      <w:r>
        <w:rPr>
          <w:b/>
        </w:rPr>
        <w:t>SZCZEGÓŁOWE TREŚCI PROGRAMOWE</w:t>
      </w:r>
    </w:p>
    <w:p w:rsidR="00791372" w:rsidRDefault="00791372" w:rsidP="00791372">
      <w:pPr>
        <w:jc w:val="center"/>
        <w:rPr>
          <w:b/>
        </w:rPr>
      </w:pPr>
      <w:r>
        <w:rPr>
          <w:b/>
        </w:rPr>
        <w:t xml:space="preserve"> POZWALAJĄCE NA UZYSKANIE  EFEKTÓW UCZENIA SIĘ</w:t>
      </w:r>
    </w:p>
    <w:p w:rsidR="00123249" w:rsidRDefault="00123249">
      <w:pPr>
        <w:jc w:val="center"/>
        <w:rPr>
          <w:b/>
          <w:bCs/>
        </w:rPr>
      </w:pPr>
      <w:bookmarkStart w:id="0" w:name="_GoBack"/>
      <w:bookmarkEnd w:id="0"/>
    </w:p>
    <w:p w:rsidR="00123249" w:rsidRDefault="00123249">
      <w:pPr>
        <w:jc w:val="center"/>
        <w:rPr>
          <w:b/>
          <w:bCs/>
        </w:rPr>
      </w:pPr>
    </w:p>
    <w:p w:rsidR="00123249" w:rsidRDefault="00314F10">
      <w:pPr>
        <w:rPr>
          <w:b/>
          <w:bCs/>
        </w:rPr>
      </w:pPr>
      <w:r>
        <w:rPr>
          <w:b/>
          <w:bCs/>
        </w:rPr>
        <w:t>Informacje og</w:t>
      </w:r>
      <w:r>
        <w:rPr>
          <w:b/>
          <w:bCs/>
          <w:lang w:val="es-ES_tradnl"/>
        </w:rPr>
        <w:t>ó</w:t>
      </w:r>
      <w:r>
        <w:rPr>
          <w:b/>
          <w:bCs/>
        </w:rPr>
        <w:t>lne</w:t>
      </w:r>
    </w:p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756"/>
        <w:gridCol w:w="3445"/>
        <w:gridCol w:w="1692"/>
        <w:gridCol w:w="198"/>
        <w:gridCol w:w="849"/>
        <w:gridCol w:w="1052"/>
        <w:gridCol w:w="1047"/>
      </w:tblGrid>
      <w:tr w:rsidR="00123249">
        <w:trPr>
          <w:trHeight w:val="968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sz w:val="28"/>
                <w:szCs w:val="28"/>
              </w:rPr>
              <w:t>Nazwa przedmiotu: Metody diagnozowania stanu zdrowia i sprawności fizycznej.</w:t>
            </w:r>
          </w:p>
        </w:tc>
      </w:tr>
      <w:tr w:rsidR="00123249">
        <w:trPr>
          <w:trHeight w:val="32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</w:rPr>
              <w:t xml:space="preserve">1. Kod przedmiotu: </w:t>
            </w:r>
            <w:r w:rsidR="00F463DB">
              <w:rPr>
                <w:b/>
                <w:bCs/>
              </w:rPr>
              <w:t>1WF-III/5-60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</w:rPr>
              <w:t>2. Liczba punkt</w:t>
            </w:r>
            <w:r>
              <w:rPr>
                <w:b/>
                <w:bCs/>
                <w:lang w:val="es-ES_tradnl"/>
              </w:rPr>
              <w:t>ó</w:t>
            </w:r>
            <w:r>
              <w:rPr>
                <w:b/>
                <w:bCs/>
                <w:lang w:val="en-US"/>
              </w:rPr>
              <w:t>w ECTS:</w:t>
            </w:r>
            <w:r w:rsidR="00F463DB">
              <w:rPr>
                <w:b/>
                <w:bCs/>
                <w:lang w:val="en-US"/>
              </w:rPr>
              <w:t xml:space="preserve"> 4</w:t>
            </w:r>
          </w:p>
        </w:tc>
      </w:tr>
      <w:tr w:rsidR="00123249">
        <w:trPr>
          <w:trHeight w:val="97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Wychowanie fizyczne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wykł</w:t>
            </w:r>
            <w:r>
              <w:rPr>
                <w:b/>
                <w:bCs/>
                <w:sz w:val="22"/>
                <w:szCs w:val="22"/>
                <w:lang w:val="en-US"/>
              </w:rPr>
              <w:t>ady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ćwiczenia</w:t>
            </w:r>
          </w:p>
          <w:p w:rsidR="00123249" w:rsidRDefault="00314F10">
            <w:r>
              <w:rPr>
                <w:b/>
                <w:bCs/>
                <w:sz w:val="22"/>
                <w:szCs w:val="22"/>
              </w:rPr>
              <w:t>/inne akt.</w:t>
            </w:r>
          </w:p>
        </w:tc>
      </w:tr>
      <w:tr w:rsidR="00123249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F463DB">
            <w:r>
              <w:t>Nauczycielska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F463DB">
            <w:r w:rsidRPr="00F463DB">
              <w:t>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F463DB">
            <w:r w:rsidRPr="00F463DB">
              <w:t>15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F463DB">
            <w:r w:rsidRPr="00F463DB">
              <w:t>25</w:t>
            </w:r>
          </w:p>
        </w:tc>
      </w:tr>
      <w:tr w:rsidR="00123249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5. Rok 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b/>
                <w:bCs/>
                <w:sz w:val="22"/>
                <w:szCs w:val="22"/>
                <w:lang w:val="en-US"/>
              </w:rPr>
              <w:t>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r w:rsidRPr="00F463DB">
              <w:rPr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r w:rsidRPr="00F463DB">
              <w:rPr>
                <w:sz w:val="22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r w:rsidRPr="00F463DB">
              <w:rPr>
                <w:sz w:val="22"/>
                <w:szCs w:val="22"/>
              </w:rPr>
              <w:t>24</w:t>
            </w:r>
          </w:p>
        </w:tc>
      </w:tr>
      <w:tr w:rsidR="00123249">
        <w:trPr>
          <w:trHeight w:val="491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  <w:lang w:val="pt-PT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rPr>
                <w:b/>
                <w:bCs/>
                <w:sz w:val="22"/>
                <w:szCs w:val="22"/>
              </w:rPr>
            </w:pPr>
          </w:p>
          <w:p w:rsidR="00123249" w:rsidRDefault="00F463DB"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b/>
                <w:bCs/>
                <w:sz w:val="22"/>
                <w:szCs w:val="22"/>
              </w:rPr>
              <w:t>10. Poziom 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b/>
                <w:bCs/>
                <w:sz w:val="22"/>
                <w:szCs w:val="22"/>
                <w:lang w:val="en-US"/>
              </w:rPr>
              <w:t>w:</w:t>
            </w:r>
          </w:p>
        </w:tc>
        <w:tc>
          <w:tcPr>
            <w:tcW w:w="2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>
            <w:r>
              <w:t>I</w:t>
            </w:r>
          </w:p>
        </w:tc>
      </w:tr>
      <w:tr w:rsidR="00123249">
        <w:trPr>
          <w:trHeight w:val="30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23249" w:rsidRDefault="00123249"/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23249" w:rsidRDefault="00123249"/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2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249" w:rsidRDefault="00123249"/>
        </w:tc>
      </w:tr>
      <w:tr w:rsidR="00123249">
        <w:trPr>
          <w:trHeight w:val="1211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 w:rsidP="000C3C53">
            <w:pPr>
              <w:shd w:val="clear" w:color="auto" w:fill="C0C0C0"/>
            </w:pPr>
            <w:r>
              <w:rPr>
                <w:b/>
                <w:bCs/>
              </w:rPr>
              <w:t>Koordynator przedmiotu i osoby prowadzące</w:t>
            </w:r>
            <w:r>
              <w:t xml:space="preserve">(imię nazwisko, tytuł/stopień naukowy; mail kontaktowy: </w:t>
            </w:r>
          </w:p>
        </w:tc>
      </w:tr>
      <w:tr w:rsidR="00123249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egzamin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12. Język wykładowy:</w:t>
            </w:r>
          </w:p>
        </w:tc>
        <w:tc>
          <w:tcPr>
            <w:tcW w:w="3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polski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p w:rsidR="00123249" w:rsidRDefault="00314F10">
      <w:pPr>
        <w:jc w:val="both"/>
        <w:rPr>
          <w:rStyle w:val="Brak"/>
          <w:b/>
          <w:bCs/>
          <w:u w:val="single"/>
        </w:rPr>
      </w:pPr>
      <w:r>
        <w:rPr>
          <w:rStyle w:val="Brak"/>
          <w:b/>
          <w:bCs/>
          <w:u w:val="single"/>
        </w:rPr>
        <w:t>Informacje szczegółowe</w:t>
      </w:r>
    </w:p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750"/>
        <w:gridCol w:w="9289"/>
      </w:tblGrid>
      <w:tr w:rsidR="00123249">
        <w:trPr>
          <w:trHeight w:val="91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1.Cele przedmiotu /cele </w:t>
            </w:r>
            <w:r w:rsidR="00B07B33">
              <w:rPr>
                <w:rStyle w:val="Brak"/>
                <w:b/>
                <w:bCs/>
              </w:rPr>
              <w:t>uczenia się</w:t>
            </w:r>
            <w:r>
              <w:rPr>
                <w:rStyle w:val="Brak"/>
                <w:b/>
                <w:bCs/>
              </w:rPr>
              <w:t xml:space="preserve">  5 – 10 (intencje wykładowcy):</w:t>
            </w:r>
          </w:p>
        </w:tc>
      </w:tr>
      <w:tr w:rsidR="00123249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C1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</w:rPr>
            </w:pPr>
          </w:p>
          <w:p w:rsidR="00123249" w:rsidRDefault="00314F10">
            <w:r>
              <w:rPr>
                <w:rStyle w:val="Brak"/>
              </w:rPr>
              <w:t>Nabycie wiedzy z zakresu podstawowych metod diagnostycznych w sporcie.</w:t>
            </w:r>
          </w:p>
        </w:tc>
      </w:tr>
      <w:tr w:rsidR="00123249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lastRenderedPageBreak/>
              <w:t>C2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Zapoznanie student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 xml:space="preserve">w ze znaczeniem oceny sprawności klienta/ucznia/sportowca dla potrzeb planowania treningu.  </w:t>
            </w:r>
          </w:p>
        </w:tc>
      </w:tr>
      <w:tr w:rsidR="00123249">
        <w:trPr>
          <w:trHeight w:val="79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C3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sz w:val="16"/>
                <w:szCs w:val="16"/>
              </w:rPr>
            </w:pPr>
          </w:p>
          <w:p w:rsidR="00123249" w:rsidRDefault="00314F10">
            <w:r>
              <w:rPr>
                <w:rStyle w:val="Brak"/>
              </w:rPr>
              <w:t>Zapoznanie student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>w z metodami określającymi poziom sprawności i jej zaawansowania w różnych grupach wiekowych.</w:t>
            </w:r>
          </w:p>
        </w:tc>
      </w:tr>
      <w:tr w:rsidR="00123249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C4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r>
              <w:rPr>
                <w:rStyle w:val="Brak"/>
              </w:rPr>
              <w:t>Zapoznanie student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 xml:space="preserve">w ze znaczeniem współpracy między trenerem, fizjoterapeutą i lekarzem oraz zaznaczenie ich roli i kompetencji w procesie rehabilitacji. </w:t>
            </w:r>
          </w:p>
        </w:tc>
      </w:tr>
      <w:tr w:rsidR="00123249">
        <w:trPr>
          <w:trHeight w:val="115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C5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sz w:val="16"/>
                <w:szCs w:val="16"/>
              </w:rPr>
            </w:pPr>
          </w:p>
          <w:p w:rsidR="00123249" w:rsidRDefault="00314F10">
            <w:r>
              <w:rPr>
                <w:rStyle w:val="Brak"/>
              </w:rPr>
              <w:t>Opanowanie wiedzy z oceny funkcjonalnej oraz identyfikacji i interpretacji najsłabszych punkt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>w sprawności fizycznej podopiecznego.</w:t>
            </w:r>
          </w:p>
        </w:tc>
      </w:tr>
      <w:tr w:rsidR="00123249">
        <w:trPr>
          <w:trHeight w:val="49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C6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TreA"/>
            </w:pPr>
            <w:r>
              <w:rPr>
                <w:rStyle w:val="Brak"/>
              </w:rPr>
              <w:t>Zapoznanie student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 xml:space="preserve">w z podstawowymi terminami stosowanymi w fizjoterapii i sporcie. 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039"/>
      </w:tblGrid>
      <w:tr w:rsidR="00123249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2. Wymagania wstępne</w:t>
            </w:r>
            <w:r>
              <w:rPr>
                <w:rStyle w:val="Brak"/>
              </w:rPr>
              <w:t>:</w:t>
            </w:r>
          </w:p>
        </w:tc>
      </w:tr>
      <w:tr w:rsidR="00123249">
        <w:trPr>
          <w:trHeight w:val="12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Student posiada wiedzę z zakresu anatomii, fizjologii, gimnastyki korekcyjnej i biomechaniki.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905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326"/>
        <w:gridCol w:w="170"/>
        <w:gridCol w:w="1528"/>
        <w:gridCol w:w="3255"/>
        <w:gridCol w:w="1456"/>
        <w:gridCol w:w="1321"/>
      </w:tblGrid>
      <w:tr w:rsidR="00123249">
        <w:trPr>
          <w:trHeight w:val="1093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ind w:firstLine="708"/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3. Efekty </w:t>
            </w:r>
            <w:r w:rsidR="00B07B33">
              <w:rPr>
                <w:rStyle w:val="Brak"/>
                <w:b/>
                <w:bCs/>
              </w:rPr>
              <w:t>uczenia się</w:t>
            </w:r>
            <w:r>
              <w:rPr>
                <w:rStyle w:val="Brak"/>
                <w:b/>
                <w:bCs/>
              </w:rPr>
              <w:t xml:space="preserve"> wybrane dla przedmiotu (kierunkowe, specjalnościowe, specjalizacyjne):</w:t>
            </w:r>
          </w:p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wiedzy </w:t>
            </w:r>
          </w:p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</w:tr>
      <w:tr w:rsidR="00123249">
        <w:trPr>
          <w:trHeight w:val="21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>(Po zakończeniu przedmiotu dla potwierdzenia osią</w:t>
            </w:r>
            <w:r>
              <w:rPr>
                <w:rStyle w:val="Brak"/>
                <w:b/>
                <w:bCs/>
                <w:i/>
                <w:iCs/>
                <w:lang w:val="it-IT"/>
              </w:rPr>
              <w:t>gni</w:t>
            </w:r>
            <w:r>
              <w:rPr>
                <w:rStyle w:val="Brak"/>
                <w:b/>
                <w:bCs/>
                <w:i/>
                <w:iCs/>
              </w:rPr>
              <w:t>ęcia efekt</w:t>
            </w:r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r>
              <w:rPr>
                <w:rStyle w:val="Brak"/>
                <w:b/>
                <w:bCs/>
                <w:i/>
                <w:iCs/>
              </w:rPr>
              <w:t xml:space="preserve">w </w:t>
            </w:r>
            <w:r w:rsidR="00B07B33">
              <w:rPr>
                <w:rStyle w:val="Brak"/>
                <w:b/>
                <w:bCs/>
                <w:i/>
                <w:iCs/>
              </w:rPr>
              <w:t>uczenia się</w:t>
            </w:r>
            <w:r w:rsidRPr="00F463DB">
              <w:rPr>
                <w:rStyle w:val="Brak"/>
                <w:b/>
                <w:bCs/>
                <w:i/>
                <w:iCs/>
              </w:rPr>
              <w:t xml:space="preserve"> student:)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>
        <w:trPr>
          <w:trHeight w:val="1352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lang w:val="en-US"/>
              </w:rPr>
              <w:lastRenderedPageBreak/>
              <w:t>K1A_W01SD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P60_W1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sz w:val="20"/>
                <w:szCs w:val="20"/>
              </w:rPr>
            </w:pPr>
          </w:p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terminy stosowane w fizjoterapii i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C6</w:t>
            </w:r>
          </w:p>
        </w:tc>
      </w:tr>
      <w:tr w:rsidR="00123249">
        <w:trPr>
          <w:trHeight w:val="24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K1A_W04SD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P60_W2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b/>
                <w:bCs/>
              </w:rPr>
            </w:pPr>
          </w:p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wiedzę teoretyczną i praktyczną w zakresie podstaw traumatologii sportu, metod treningu oraz test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sprawnościowych stosowanych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lang w:val="es-ES_tradnl"/>
              </w:rPr>
              <w:t>C2,C3,C5</w:t>
            </w:r>
          </w:p>
        </w:tc>
      </w:tr>
      <w:tr w:rsidR="00123249">
        <w:trPr>
          <w:trHeight w:val="18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K1A_W02SD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P60_W3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zasady programowania obciążeń wysiłkowych, test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zależnych od uprawiania dyscypliny</w:t>
            </w:r>
            <w:r w:rsidRPr="00F463DB">
              <w:rPr>
                <w:rStyle w:val="Brak"/>
                <w:rFonts w:ascii="Arial Unicode MS" w:hAnsi="Arial Unicode MS"/>
                <w:sz w:val="24"/>
                <w:szCs w:val="24"/>
                <w:lang w:val="pl-PL"/>
              </w:rPr>
              <w:br/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 i kontroli reakcji na nie, organizmu dorosłych i dzieci.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C3</w:t>
            </w:r>
          </w:p>
        </w:tc>
      </w:tr>
      <w:tr w:rsidR="00123249">
        <w:trPr>
          <w:trHeight w:val="9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K1A_W07SD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P60_W4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zasady profilaktyki i diagnostyki uszkodzeń sportowych.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lang w:val="es-ES_tradnl"/>
              </w:rPr>
              <w:t>C1,C2,C3,C4</w:t>
            </w:r>
          </w:p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/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>W zakresie umiejętnoś</w:t>
            </w:r>
            <w:r>
              <w:rPr>
                <w:rStyle w:val="Brak"/>
                <w:b/>
                <w:bCs/>
                <w:i/>
                <w:iCs/>
                <w:lang w:val="it-IT"/>
              </w:rPr>
              <w:t xml:space="preserve">ci </w:t>
            </w:r>
          </w:p>
        </w:tc>
      </w:tr>
      <w:tr w:rsidR="00123249">
        <w:trPr>
          <w:trHeight w:val="30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</w:tr>
      <w:tr w:rsidR="00123249">
        <w:trPr>
          <w:trHeight w:val="12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>
        <w:trPr>
          <w:trHeight w:val="27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:rsidR="00123249" w:rsidRDefault="00314F10">
            <w:pPr>
              <w:pStyle w:val="DomylneA"/>
              <w:tabs>
                <w:tab w:val="left" w:pos="72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P60_U1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umiejętność pomiaru podstawowych wskaźnik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fizjologicznych, sprawnościowych, przeprowadzenia i interpretacji wynik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pr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b i test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wysiłkowych, klinicznych oraz sprawnościowych.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C2,C3</w:t>
            </w:r>
          </w:p>
        </w:tc>
      </w:tr>
      <w:tr w:rsidR="00123249">
        <w:trPr>
          <w:trHeight w:val="21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lastRenderedPageBreak/>
              <w:t>K1A_U07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  <w:i/>
                <w:iCs/>
              </w:rPr>
            </w:pPr>
          </w:p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posługiwać się podstawowymi urządzeniami, sprzętem i aparaturą, stosowanymi w zawodzie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</w:rPr>
              <w:t>C1</w:t>
            </w:r>
          </w:p>
        </w:tc>
      </w:tr>
      <w:tr w:rsidR="00123249">
        <w:trPr>
          <w:trHeight w:val="240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K1A_U08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dokonać oceny stanu zdrowia i sprawności fizycznej (jej komponent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w) oraz zinterpretować objawy i przyczyny wybranych zaburzeń i zmian w zakresie niezbędnym dla nauk o kulturze fizycznej.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C1,C2,C3,C5,C6</w:t>
            </w:r>
          </w:p>
        </w:tc>
      </w:tr>
      <w:tr w:rsidR="00123249" w:rsidTr="00FB414F">
        <w:trPr>
          <w:trHeight w:val="200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K1A_U11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potrafi podjąć działanie diagnostyczne i terapeutyczne </w:t>
            </w:r>
            <w:r w:rsidRPr="00F463DB">
              <w:rPr>
                <w:rStyle w:val="Brak"/>
                <w:rFonts w:ascii="Arial Unicode MS" w:hAnsi="Arial Unicode MS"/>
                <w:sz w:val="24"/>
                <w:szCs w:val="24"/>
                <w:lang w:val="pl-PL"/>
              </w:rPr>
              <w:br/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zakresie korekcji wad postawy na poziomie kompetencji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C3,C4,C5</w:t>
            </w:r>
          </w:p>
        </w:tc>
      </w:tr>
      <w:tr w:rsidR="00123249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kompetencji społecznych </w:t>
            </w:r>
          </w:p>
        </w:tc>
      </w:tr>
      <w:tr w:rsidR="00123249">
        <w:trPr>
          <w:trHeight w:val="30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</w:tr>
      <w:tr w:rsidR="00123249">
        <w:trPr>
          <w:trHeight w:val="97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>
        <w:trPr>
          <w:trHeight w:val="1432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dokonuje samooceny własnych kompetencji oraz posiada świadomość własnych ograniczeń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sz w:val="22"/>
                <w:szCs w:val="22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C4</w:t>
            </w:r>
          </w:p>
        </w:tc>
      </w:tr>
      <w:tr w:rsidR="00123249">
        <w:trPr>
          <w:trHeight w:val="15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Got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do pracy zespołowej z lekarzem lub fizjoterapeutą przy konkretnym zawodniku lub grupie zawodnik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C4</w:t>
            </w:r>
          </w:p>
        </w:tc>
      </w:tr>
      <w:tr w:rsidR="00123249">
        <w:trPr>
          <w:trHeight w:val="15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K1A_K01SD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Style w:val="Brak"/>
              </w:rPr>
              <w:t>Wykazuje kreatywność w doborze odpowiedniej metody diagnostycznej i test</w:t>
            </w:r>
            <w:r>
              <w:rPr>
                <w:rStyle w:val="Brak"/>
                <w:lang w:val="es-ES_tradnl"/>
              </w:rPr>
              <w:t>ó</w:t>
            </w:r>
            <w:r>
              <w:rPr>
                <w:rStyle w:val="Brak"/>
              </w:rPr>
              <w:t>w sprawnościowych poprzez ciągłe dokształcanie.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sz w:val="22"/>
                <w:szCs w:val="22"/>
              </w:rPr>
            </w:pPr>
          </w:p>
          <w:p w:rsidR="00123249" w:rsidRDefault="00314F10">
            <w:r>
              <w:rPr>
                <w:rStyle w:val="Brak"/>
                <w:sz w:val="22"/>
                <w:szCs w:val="22"/>
                <w:lang w:val="es-ES_tradnl"/>
              </w:rPr>
              <w:t>C1,C5</w:t>
            </w:r>
          </w:p>
        </w:tc>
      </w:tr>
      <w:tr w:rsidR="00123249">
        <w:trPr>
          <w:trHeight w:val="175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lastRenderedPageBreak/>
              <w:t>K1A_K05SD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Wykazuje postawę 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promuj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ącą potrzebę profilaktyki z wcześniejszą diagnostyką w realizowaniu zdrowego, aktywnego trybu życia.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C4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894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577"/>
        <w:gridCol w:w="5348"/>
        <w:gridCol w:w="2023"/>
      </w:tblGrid>
      <w:tr w:rsidR="00123249">
        <w:trPr>
          <w:trHeight w:val="910"/>
        </w:trPr>
        <w:tc>
          <w:tcPr>
            <w:tcW w:w="8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4. Treści  programowe- problematyka ćwiczeniowa</w:t>
            </w:r>
            <w:r>
              <w:rPr>
                <w:rStyle w:val="Brak"/>
              </w:rPr>
              <w:t>:</w:t>
            </w:r>
          </w:p>
        </w:tc>
      </w:tr>
      <w:tr w:rsidR="00123249">
        <w:trPr>
          <w:trHeight w:val="97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treści programowych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Treści programowe</w:t>
            </w:r>
          </w:p>
          <w:p w:rsidR="00123249" w:rsidRDefault="00123249">
            <w:pPr>
              <w:jc w:val="center"/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Odniesienie do  efekt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w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  <w:r>
              <w:rPr>
                <w:rStyle w:val="Brak"/>
                <w:b/>
                <w:bCs/>
                <w:sz w:val="22"/>
                <w:szCs w:val="22"/>
              </w:rPr>
              <w:t>-</w:t>
            </w: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</w:t>
            </w:r>
          </w:p>
        </w:tc>
      </w:tr>
      <w:tr w:rsidR="00123249">
        <w:trPr>
          <w:trHeight w:val="97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Znaczenie funkcjonalnej i obiektywnej oceny podopiecznego dla potrzeb planowania odpowiedniej intensywności i formy wysiłku fizycznego.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  <w:u w:color="FF0000"/>
              </w:rPr>
              <w:t>K1A_W02SD</w:t>
            </w:r>
          </w:p>
        </w:tc>
      </w:tr>
      <w:tr w:rsidR="00123249">
        <w:trPr>
          <w:trHeight w:val="62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Założenia funkcjonalnej oceny motorycznej FMS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</w:tr>
      <w:tr w:rsidR="00123249" w:rsidTr="00FB414F">
        <w:trPr>
          <w:trHeight w:val="78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Ocena funkcjonalna oraz identyfikacja słabych ogniw sprawności fizycznej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:rsidTr="00FB414F">
        <w:trPr>
          <w:trHeight w:val="82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Testy oceny funkcjonalnej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:rsidTr="00FB414F">
        <w:trPr>
          <w:trHeight w:val="53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Testy oceny motorycznej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:rsidTr="00FB414F">
        <w:trPr>
          <w:trHeight w:val="63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Znaczenie b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lu w kontekście regresji i progresji ćwiczeń fizycznych.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>
        <w:trPr>
          <w:trHeight w:val="9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Dostosowanie rodzaju sportu do rodzaju test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 sprawnościowych.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K1A_K01SD</w:t>
            </w:r>
          </w:p>
        </w:tc>
      </w:tr>
      <w:tr w:rsidR="00123249" w:rsidTr="00FB414F">
        <w:trPr>
          <w:trHeight w:val="67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Poznanie dodatkowego sprzętu pomocnego w ocenie sprawności fizycznej.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</w:tr>
      <w:tr w:rsidR="00123249">
        <w:trPr>
          <w:trHeight w:val="9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Nauka odpowiedniej asekuracji i umiejętności tworzenia bezpiecznego otoczenia podczas oceny sprawności fizycznej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</w:tr>
      <w:tr w:rsidR="00123249" w:rsidTr="00FB414F">
        <w:trPr>
          <w:trHeight w:val="10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Praktyczne wykonanie podstawowych test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 klinicznych i ortopedycznych w celu dokładnej analizy dysfunkcji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K1A_U08</w:t>
            </w:r>
          </w:p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K1A_U11</w:t>
            </w:r>
          </w:p>
        </w:tc>
      </w:tr>
      <w:tr w:rsidR="00123249" w:rsidTr="00FB414F">
        <w:trPr>
          <w:trHeight w:val="826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Analiza postawy ciała podopiecznego w statyce i dynamice.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K1A_U11</w:t>
            </w:r>
          </w:p>
          <w:p w:rsidR="00FB414F" w:rsidRDefault="00FB414F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K1A_W04SD</w:t>
            </w:r>
          </w:p>
        </w:tc>
      </w:tr>
      <w:tr w:rsidR="00123249">
        <w:trPr>
          <w:trHeight w:val="6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r>
              <w:rPr>
                <w:rStyle w:val="Brak"/>
                <w:b/>
                <w:bCs/>
                <w:sz w:val="22"/>
                <w:szCs w:val="22"/>
                <w:lang w:val="pt-PT"/>
              </w:rPr>
              <w:t>Por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wnanie test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w sprawności fizycznej u dzieci i u dorosłych.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K1A_W02SD</w:t>
            </w:r>
          </w:p>
          <w:p w:rsidR="00FB414F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K1A_W01SD</w:t>
            </w:r>
          </w:p>
        </w:tc>
      </w:tr>
      <w:tr w:rsidR="00123249">
        <w:trPr>
          <w:trHeight w:val="910"/>
        </w:trPr>
        <w:tc>
          <w:tcPr>
            <w:tcW w:w="8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4. Treści  programowe-problematyka wykładowa:</w:t>
            </w:r>
          </w:p>
        </w:tc>
      </w:tr>
      <w:tr w:rsidR="00123249" w:rsidTr="00FB414F">
        <w:trPr>
          <w:trHeight w:val="123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:rsidR="00123249" w:rsidRDefault="00314F10"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Om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wienie sytuacji w kt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rych potrzebne jest odesłanie podopiecznego do specjalisty w celu wykonania dalszej diagnostyki.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K1A_K02SD</w:t>
            </w:r>
          </w:p>
          <w:p w:rsidR="00FB414F" w:rsidRDefault="00FB414F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K1A_K02SD</w:t>
            </w:r>
          </w:p>
        </w:tc>
      </w:tr>
      <w:tr w:rsidR="00123249" w:rsidTr="00FB414F">
        <w:trPr>
          <w:trHeight w:val="81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Om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wienie kompetencji trenera w procesie rehabilitacji.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K1A_K02SD</w:t>
            </w:r>
          </w:p>
          <w:p w:rsidR="00123249" w:rsidRDefault="00123249">
            <w:pPr>
              <w:jc w:val="center"/>
              <w:rPr>
                <w:rStyle w:val="Brak"/>
                <w:rFonts w:eastAsia="Times New Roman" w:cs="Times New Roman"/>
                <w:b/>
                <w:bCs/>
                <w:sz w:val="22"/>
                <w:szCs w:val="22"/>
              </w:rPr>
            </w:pPr>
          </w:p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</w:tr>
      <w:tr w:rsidR="00123249">
        <w:trPr>
          <w:trHeight w:val="6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Zaznajomienie student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w z pojęciami zdrowia i sprawności fizycznej.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K1A_W07SD</w:t>
            </w:r>
          </w:p>
          <w:p w:rsidR="00FB414F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K1A_K05SD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039"/>
      </w:tblGrid>
      <w:tr w:rsidR="00123249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:rsidR="00123249" w:rsidRDefault="00314F10">
            <w:pPr>
              <w:jc w:val="both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5.Warunki zaliczenia:</w:t>
            </w:r>
          </w:p>
          <w:p w:rsidR="00123249" w:rsidRDefault="00314F10">
            <w:r>
              <w:rPr>
                <w:rStyle w:val="Brak"/>
                <w:b/>
                <w:bCs/>
              </w:rPr>
              <w:t>(typ oceniania D – F – P)/metody oceniania/ kryteria oceny:</w:t>
            </w:r>
          </w:p>
        </w:tc>
      </w:tr>
      <w:tr w:rsidR="00123249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jc w:val="both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 xml:space="preserve">Egzamin ustny/pisemny. </w:t>
            </w:r>
          </w:p>
          <w:p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Wymagania minimalne do zaliczenia przedmiotu - Ocena dostateczna - 60%.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10039"/>
      </w:tblGrid>
      <w:tr w:rsidR="00123249">
        <w:trPr>
          <w:trHeight w:val="83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rPr>
                <w:rStyle w:val="Brak"/>
                <w:b/>
                <w:bCs/>
              </w:rPr>
            </w:pPr>
          </w:p>
          <w:p w:rsidR="00123249" w:rsidRDefault="00314F10">
            <w:r>
              <w:rPr>
                <w:rStyle w:val="Brak"/>
                <w:b/>
                <w:bCs/>
              </w:rPr>
              <w:t>6. Metody prowadzenia zajęć:</w:t>
            </w:r>
          </w:p>
        </w:tc>
      </w:tr>
      <w:tr w:rsidR="00123249">
        <w:trPr>
          <w:trHeight w:val="79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jc w:val="both"/>
              <w:rPr>
                <w:rStyle w:val="Brak"/>
                <w:sz w:val="16"/>
                <w:szCs w:val="16"/>
              </w:rPr>
            </w:pPr>
          </w:p>
          <w:p w:rsidR="00123249" w:rsidRDefault="00314F10">
            <w:pPr>
              <w:jc w:val="both"/>
            </w:pPr>
            <w:r>
              <w:rPr>
                <w:rStyle w:val="Brak"/>
                <w:sz w:val="22"/>
                <w:szCs w:val="22"/>
              </w:rPr>
              <w:t>Praca w grupach, ćwiczenia praktyczne, analiza przypadku.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941"/>
        <w:gridCol w:w="5098"/>
      </w:tblGrid>
      <w:tr w:rsidR="00123249">
        <w:trPr>
          <w:trHeight w:val="1132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rPr>
                <w:rStyle w:val="Brak"/>
                <w:b/>
                <w:bCs/>
              </w:rPr>
            </w:pPr>
          </w:p>
          <w:p w:rsidR="00123249" w:rsidRDefault="00314F10">
            <w:r>
              <w:rPr>
                <w:rStyle w:val="Brak"/>
                <w:b/>
                <w:bCs/>
                <w:lang w:val="pt-PT"/>
              </w:rPr>
              <w:t xml:space="preserve">7. Literatura </w:t>
            </w:r>
            <w:r>
              <w:rPr>
                <w:rStyle w:val="Brak"/>
                <w:b/>
                <w:bCs/>
                <w:i/>
                <w:iCs/>
              </w:rPr>
              <w:t>(podajemy wyłącznie pozycje do przeczytania przez student</w:t>
            </w:r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r w:rsidRPr="00F463DB">
              <w:rPr>
                <w:rStyle w:val="Brak"/>
                <w:b/>
                <w:bCs/>
                <w:i/>
                <w:iCs/>
              </w:rPr>
              <w:t xml:space="preserve">w a </w:t>
            </w:r>
            <w:r>
              <w:rPr>
                <w:rStyle w:val="Brak"/>
                <w:b/>
                <w:bCs/>
                <w:i/>
                <w:iCs/>
                <w:u w:val="single"/>
              </w:rPr>
              <w:t xml:space="preserve">nie </w:t>
            </w:r>
            <w:r>
              <w:rPr>
                <w:rStyle w:val="Brak"/>
                <w:b/>
                <w:bCs/>
                <w:i/>
                <w:iCs/>
              </w:rPr>
              <w:t>wykorzystywane przez wykładowcę)</w:t>
            </w:r>
          </w:p>
        </w:tc>
      </w:tr>
      <w:tr w:rsidR="00123249">
        <w:trPr>
          <w:trHeight w:val="53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obowiązkowa</w:t>
            </w:r>
            <w:r>
              <w:rPr>
                <w:rStyle w:val="Brak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zalecana</w:t>
            </w:r>
            <w:r>
              <w:rPr>
                <w:rStyle w:val="Brak"/>
              </w:rPr>
              <w:t>:</w:t>
            </w:r>
          </w:p>
        </w:tc>
      </w:tr>
      <w:tr w:rsidR="00123249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TreA"/>
            </w:pPr>
            <w:r>
              <w:rPr>
                <w:rStyle w:val="Brak"/>
              </w:rPr>
              <w:t>Indeks sprawności fizycznej K.Zuchory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TreA"/>
            </w:pPr>
            <w:r>
              <w:rPr>
                <w:rStyle w:val="Brak"/>
              </w:rPr>
              <w:t xml:space="preserve">Trening Funkcjonalny – </w:t>
            </w:r>
            <w:r>
              <w:rPr>
                <w:rStyle w:val="Brak"/>
                <w:lang w:val="es-ES_tradnl"/>
              </w:rPr>
              <w:t>Juan Carlos Santana</w:t>
            </w:r>
          </w:p>
        </w:tc>
      </w:tr>
      <w:tr w:rsidR="00123249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TreA"/>
            </w:pPr>
            <w:r>
              <w:rPr>
                <w:rStyle w:val="Brak"/>
              </w:rPr>
              <w:t>Testy kliniczne Klaus Buckup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TreA"/>
            </w:pPr>
            <w:r>
              <w:rPr>
                <w:rStyle w:val="Brak"/>
              </w:rPr>
              <w:t>Nowoczesny Trening funkcjonalny Michael Boyle</w:t>
            </w:r>
          </w:p>
        </w:tc>
      </w:tr>
      <w:tr w:rsidR="00123249">
        <w:trPr>
          <w:trHeight w:val="121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TreA"/>
              <w:rPr>
                <w:rStyle w:val="Brak"/>
              </w:rPr>
            </w:pPr>
            <w:r>
              <w:rPr>
                <w:rStyle w:val="Brak"/>
              </w:rPr>
              <w:t>Testy kliniczne w fizjoterapii. Badanie narządu ruchu. Praktyczny przewodnik po metodach badania układu mięśniowo-szkieletowego</w:t>
            </w:r>
          </w:p>
          <w:p w:rsidR="00123249" w:rsidRDefault="00314F10">
            <w:pPr>
              <w:pStyle w:val="TreA"/>
            </w:pPr>
            <w:r>
              <w:rPr>
                <w:rStyle w:val="Brak"/>
              </w:rPr>
              <w:t xml:space="preserve">Dariusz Ciborowski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>
            <w:pPr>
              <w:pStyle w:val="TreA"/>
              <w:rPr>
                <w:rStyle w:val="Brak"/>
                <w:rFonts w:ascii="Times New Roman" w:eastAsia="Times New Roman" w:hAnsi="Times New Roman" w:cs="Times New Roman"/>
              </w:rPr>
            </w:pPr>
          </w:p>
          <w:p w:rsidR="00123249" w:rsidRDefault="00314F10">
            <w:pPr>
              <w:pStyle w:val="TreA"/>
            </w:pPr>
            <w:r>
              <w:rPr>
                <w:rStyle w:val="Brak"/>
                <w:rFonts w:ascii="Times New Roman" w:hAnsi="Times New Roman"/>
              </w:rPr>
              <w:t>Diagnoza różnicowa dla fizjoterapeut</w:t>
            </w:r>
            <w:r>
              <w:rPr>
                <w:rStyle w:val="Brak"/>
                <w:rFonts w:ascii="Times New Roman" w:hAnsi="Times New Roman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</w:rPr>
              <w:t xml:space="preserve">w – </w:t>
            </w:r>
            <w:r>
              <w:rPr>
                <w:rStyle w:val="Brak"/>
                <w:rFonts w:ascii="Times New Roman" w:hAnsi="Times New Roman"/>
                <w:lang w:val="it-IT"/>
              </w:rPr>
              <w:t>Catherine Cavallaro Goodman, John Heick, Rolando T. Lazaro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/>
    <w:p w:rsidR="00123249" w:rsidRDefault="00123249"/>
    <w:tbl>
      <w:tblPr>
        <w:tblStyle w:val="TableNormal"/>
        <w:tblW w:w="999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3570"/>
        <w:gridCol w:w="2822"/>
        <w:gridCol w:w="1711"/>
        <w:gridCol w:w="1896"/>
      </w:tblGrid>
      <w:tr w:rsidR="00123249">
        <w:trPr>
          <w:trHeight w:val="91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23249" w:rsidRDefault="00314F1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8. Kalkulacja ECTS – proponowana:</w:t>
            </w:r>
          </w:p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(na podstawie poniższego przykładu)</w:t>
            </w:r>
          </w:p>
        </w:tc>
      </w:tr>
      <w:tr w:rsidR="00123249">
        <w:trPr>
          <w:trHeight w:val="12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>
            <w:pPr>
              <w:pStyle w:val="Akapitzlist"/>
              <w:spacing w:after="0" w:line="240" w:lineRule="auto"/>
              <w:ind w:left="0"/>
              <w:jc w:val="center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Forma aktywności/obciążenie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 studia stacjonarne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realizację/studia niestacjonarne</w:t>
            </w:r>
          </w:p>
        </w:tc>
      </w:tr>
      <w:tr w:rsidR="00123249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Godziny zajęć (wg planu studi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r>
              <w:rPr>
                <w:rStyle w:val="Brak"/>
                <w:rFonts w:ascii="Times New Roman" w:hAnsi="Times New Roman"/>
                <w:sz w:val="24"/>
                <w:szCs w:val="24"/>
              </w:rPr>
              <w:t>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 w:rsidP="0050124E">
            <w:pPr>
              <w:jc w:val="center"/>
            </w:pPr>
            <w: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 w:rsidP="0050124E">
            <w:pPr>
              <w:suppressAutoHyphens/>
              <w:jc w:val="center"/>
            </w:pPr>
            <w:r>
              <w:rPr>
                <w:rStyle w:val="Brak"/>
                <w:i/>
                <w:iCs/>
              </w:rPr>
              <w:t>30</w:t>
            </w:r>
          </w:p>
        </w:tc>
      </w:tr>
      <w:tr w:rsidR="00123249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 w:rsidP="0050124E">
            <w:pPr>
              <w:jc w:val="center"/>
            </w:pPr>
            <w: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50124E" w:rsidP="0050124E">
            <w:pPr>
              <w:jc w:val="center"/>
            </w:pPr>
            <w:r>
              <w:t>50</w:t>
            </w:r>
          </w:p>
        </w:tc>
      </w:tr>
      <w:tr w:rsidR="00123249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Studia literaturowe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 w:rsidP="0050124E">
            <w:pPr>
              <w:jc w:val="center"/>
            </w:pPr>
            <w:r>
              <w:t>20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50124E" w:rsidP="0050124E">
            <w:pPr>
              <w:jc w:val="center"/>
            </w:pPr>
            <w:r>
              <w:t>20</w:t>
            </w:r>
          </w:p>
        </w:tc>
      </w:tr>
      <w:tr w:rsidR="00123249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Przygotowanie prezentacji </w:t>
            </w:r>
            <w:r>
              <w:rPr>
                <w:rStyle w:val="Brak"/>
                <w:rFonts w:ascii="Times New Roman" w:hAnsi="Times New Roman"/>
                <w:i/>
                <w:iCs/>
                <w:sz w:val="24"/>
                <w:szCs w:val="24"/>
              </w:rPr>
              <w:t>(o ile występuje)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123249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123249"/>
        </w:tc>
      </w:tr>
      <w:tr w:rsidR="00123249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 w:rsidP="0050124E">
            <w:pPr>
              <w:jc w:val="center"/>
            </w:pPr>
            <w:r>
              <w:t>100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50124E" w:rsidP="0050124E">
            <w:pPr>
              <w:jc w:val="center"/>
            </w:pPr>
            <w:r>
              <w:t>100</w:t>
            </w:r>
          </w:p>
        </w:tc>
      </w:tr>
      <w:tr w:rsidR="00123249">
        <w:trPr>
          <w:trHeight w:val="6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  <w:lang w:val="de-DE"/>
              </w:rPr>
              <w:t>SUMARYCZNA LICZBA PUNKT</w:t>
            </w: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ÓW </w:t>
            </w: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  <w:lang w:val="pt-PT"/>
              </w:rPr>
              <w:t>ECTS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3249" w:rsidRDefault="0050124E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3249" w:rsidRDefault="0050124E" w:rsidP="0050124E">
            <w:pPr>
              <w:jc w:val="center"/>
            </w:pPr>
            <w:r>
              <w:t>4</w:t>
            </w:r>
          </w:p>
        </w:tc>
      </w:tr>
    </w:tbl>
    <w:p w:rsidR="00123249" w:rsidRDefault="00123249">
      <w:pPr>
        <w:widowControl w:val="0"/>
        <w:ind w:left="108" w:hanging="108"/>
      </w:pPr>
    </w:p>
    <w:p w:rsidR="00123249" w:rsidRDefault="00123249">
      <w:pPr>
        <w:widowControl w:val="0"/>
      </w:pPr>
    </w:p>
    <w:p w:rsidR="00123249" w:rsidRDefault="00123249">
      <w:pPr>
        <w:ind w:left="709"/>
        <w:rPr>
          <w:i/>
          <w:iCs/>
        </w:rPr>
      </w:pPr>
    </w:p>
    <w:p w:rsidR="00123249" w:rsidRDefault="00123249">
      <w:pPr>
        <w:rPr>
          <w:b/>
          <w:bCs/>
        </w:rPr>
      </w:pPr>
    </w:p>
    <w:p w:rsidR="00123249" w:rsidRDefault="00123249">
      <w:pPr>
        <w:rPr>
          <w:b/>
          <w:bCs/>
        </w:rPr>
      </w:pPr>
    </w:p>
    <w:p w:rsidR="00123249" w:rsidRDefault="00314F10">
      <w:pPr>
        <w:jc w:val="both"/>
      </w:pPr>
      <w:r>
        <w:rPr>
          <w:rStyle w:val="Brak"/>
          <w:b/>
          <w:bCs/>
          <w:i/>
          <w:iCs/>
          <w:sz w:val="18"/>
          <w:szCs w:val="18"/>
          <w:u w:color="FF0000"/>
        </w:rPr>
        <w:t>Niniejszy dokument jest własnością WSPiA im. Mieszka I i nie może być kopiowany, przetwarzany, publikowany, przegrywany, przesyłany pocztą, przekazywany, rozpowszechniany lub dystrybuowany w inny  spos</w:t>
      </w:r>
      <w:r>
        <w:rPr>
          <w:rStyle w:val="Brak"/>
          <w:b/>
          <w:bCs/>
          <w:i/>
          <w:iCs/>
          <w:sz w:val="18"/>
          <w:szCs w:val="18"/>
          <w:u w:color="FF0000"/>
          <w:lang w:val="es-ES_tradnl"/>
        </w:rPr>
        <w:t>ó</w:t>
      </w:r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b. Dokument podlega ochronie wynikającej z ustawy z dnia 4 lutego 1994 r. o prawie autorskim i prawach pokrewnych oraz ustawie </w:t>
      </w:r>
      <w:r>
        <w:rPr>
          <w:rStyle w:val="Brak"/>
          <w:b/>
          <w:bCs/>
          <w:sz w:val="18"/>
          <w:szCs w:val="18"/>
          <w:u w:color="FF0000"/>
        </w:rPr>
        <w:t xml:space="preserve">z </w:t>
      </w:r>
      <w:r>
        <w:rPr>
          <w:rStyle w:val="Brak"/>
          <w:b/>
          <w:bCs/>
          <w:i/>
          <w:iCs/>
          <w:sz w:val="18"/>
          <w:szCs w:val="18"/>
          <w:u w:color="FF0000"/>
        </w:rPr>
        <w:t>dnia 29 sierpnia 1997 r.</w:t>
      </w:r>
      <w:r>
        <w:rPr>
          <w:rStyle w:val="Brak"/>
          <w:b/>
          <w:bCs/>
          <w:sz w:val="18"/>
          <w:szCs w:val="18"/>
          <w:u w:color="FF0000"/>
          <w:lang w:val="pt-PT"/>
        </w:rPr>
        <w:t xml:space="preserve"> o </w:t>
      </w:r>
      <w:r>
        <w:rPr>
          <w:rStyle w:val="Brak"/>
          <w:b/>
          <w:bCs/>
          <w:i/>
          <w:iCs/>
          <w:sz w:val="18"/>
          <w:szCs w:val="18"/>
          <w:u w:color="FF0000"/>
        </w:rPr>
        <w:t>ochronie danych osobowych.</w:t>
      </w:r>
    </w:p>
    <w:sectPr w:rsidR="00123249" w:rsidSect="00574202">
      <w:headerReference w:type="default" r:id="rId6"/>
      <w:footerReference w:type="default" r:id="rId7"/>
      <w:pgSz w:w="11900" w:h="16840"/>
      <w:pgMar w:top="1079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5E7" w:rsidRDefault="00FA15E7">
      <w:r>
        <w:separator/>
      </w:r>
    </w:p>
  </w:endnote>
  <w:endnote w:type="continuationSeparator" w:id="1">
    <w:p w:rsidR="00FA15E7" w:rsidRDefault="00FA1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9" w:rsidRDefault="00574202">
    <w:pPr>
      <w:pStyle w:val="Stopka"/>
      <w:tabs>
        <w:tab w:val="clear" w:pos="9072"/>
        <w:tab w:val="right" w:pos="9046"/>
      </w:tabs>
      <w:jc w:val="right"/>
    </w:pPr>
    <w:r>
      <w:fldChar w:fldCharType="begin"/>
    </w:r>
    <w:r w:rsidR="00314F10">
      <w:instrText xml:space="preserve"> PAGE </w:instrText>
    </w:r>
    <w:r>
      <w:fldChar w:fldCharType="separate"/>
    </w:r>
    <w:r w:rsidR="000C3C5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5E7" w:rsidRDefault="00FA15E7">
      <w:r>
        <w:separator/>
      </w:r>
    </w:p>
  </w:footnote>
  <w:footnote w:type="continuationSeparator" w:id="1">
    <w:p w:rsidR="00FA15E7" w:rsidRDefault="00FA1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249" w:rsidRDefault="00123249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3249"/>
    <w:rsid w:val="000C3C53"/>
    <w:rsid w:val="00123249"/>
    <w:rsid w:val="00314F10"/>
    <w:rsid w:val="0050124E"/>
    <w:rsid w:val="00574202"/>
    <w:rsid w:val="00791372"/>
    <w:rsid w:val="00817362"/>
    <w:rsid w:val="00B07B33"/>
    <w:rsid w:val="00F463DB"/>
    <w:rsid w:val="00FA15E7"/>
    <w:rsid w:val="00FB4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202"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rsid w:val="00574202"/>
    <w:pPr>
      <w:keepNext/>
      <w:jc w:val="both"/>
      <w:outlineLvl w:val="1"/>
    </w:pPr>
    <w:rPr>
      <w:rFonts w:eastAsia="Times New Roman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4202"/>
    <w:rPr>
      <w:u w:val="single"/>
    </w:rPr>
  </w:style>
  <w:style w:type="table" w:customStyle="1" w:styleId="TableNormal">
    <w:name w:val="Table Normal"/>
    <w:rsid w:val="005742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74202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574202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  <w:rsid w:val="00574202"/>
  </w:style>
  <w:style w:type="character" w:customStyle="1" w:styleId="Hyperlink0">
    <w:name w:val="Hyperlink.0"/>
    <w:basedOn w:val="Brak"/>
    <w:rsid w:val="00574202"/>
    <w:rPr>
      <w:rFonts w:ascii="Times New Roman" w:eastAsia="Times New Roman" w:hAnsi="Times New Roman" w:cs="Times New Roman"/>
      <w:color w:val="0000FF"/>
      <w:u w:val="single" w:color="0000FF"/>
    </w:rPr>
  </w:style>
  <w:style w:type="paragraph" w:customStyle="1" w:styleId="TreA">
    <w:name w:val="Treść A"/>
    <w:rsid w:val="00574202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A">
    <w:name w:val="Domyślne A"/>
    <w:rsid w:val="00574202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Domylne">
    <w:name w:val="Domyślne"/>
    <w:rsid w:val="00574202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kapitzlist">
    <w:name w:val="List Paragraph"/>
    <w:rsid w:val="00574202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9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 Probook</cp:lastModifiedBy>
  <cp:revision>5</cp:revision>
  <cp:lastPrinted>2022-02-17T15:25:00Z</cp:lastPrinted>
  <dcterms:created xsi:type="dcterms:W3CDTF">2022-02-17T15:35:00Z</dcterms:created>
  <dcterms:modified xsi:type="dcterms:W3CDTF">2022-03-11T08:57:00Z</dcterms:modified>
</cp:coreProperties>
</file>